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42F66" w:rsidRDefault="0045235B">
      <w:pPr>
        <w:widowControl w:val="0"/>
        <w:spacing w:after="0" w:line="240" w:lineRule="auto"/>
        <w:ind w:left="1418" w:right="145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Volatile-mediated inhibitory activity of the biocontrol agent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Lysobacter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capsici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AZ78: a result of multiple factors interaction</w:t>
      </w:r>
    </w:p>
    <w:p w14:paraId="00000002" w14:textId="77777777" w:rsidR="00142F66" w:rsidRDefault="00142F66">
      <w:pPr>
        <w:widowControl w:val="0"/>
        <w:spacing w:after="0" w:line="240" w:lineRule="auto"/>
        <w:ind w:left="1418" w:right="1452"/>
        <w:jc w:val="both"/>
        <w:rPr>
          <w:rFonts w:ascii="Times New Roman" w:eastAsia="Times New Roman" w:hAnsi="Times New Roman" w:cs="Times New Roman"/>
          <w:b/>
        </w:rPr>
      </w:pPr>
    </w:p>
    <w:p w14:paraId="00000003" w14:textId="77777777" w:rsidR="00142F66" w:rsidRDefault="0045235B">
      <w:pPr>
        <w:widowControl w:val="0"/>
        <w:spacing w:after="0" w:line="240" w:lineRule="auto"/>
        <w:ind w:left="1418" w:right="145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A. Vlassi</w:t>
      </w:r>
      <w:r>
        <w:rPr>
          <w:rFonts w:ascii="Times New Roman" w:eastAsia="Times New Roman" w:hAnsi="Times New Roman" w:cs="Times New Roman"/>
          <w:b/>
          <w:vertAlign w:val="superscript"/>
        </w:rPr>
        <w:t>1</w:t>
      </w:r>
      <w:r>
        <w:rPr>
          <w:rFonts w:ascii="Times New Roman" w:eastAsia="Times New Roman" w:hAnsi="Times New Roman" w:cs="Times New Roman"/>
          <w:b/>
        </w:rPr>
        <w:t>, A. Nesler</w:t>
      </w:r>
      <w:r>
        <w:rPr>
          <w:rFonts w:ascii="Times New Roman" w:eastAsia="Times New Roman" w:hAnsi="Times New Roman" w:cs="Times New Roman"/>
          <w:b/>
          <w:vertAlign w:val="superscript"/>
        </w:rPr>
        <w:t>2</w:t>
      </w:r>
      <w:r>
        <w:rPr>
          <w:rFonts w:ascii="Times New Roman" w:eastAsia="Times New Roman" w:hAnsi="Times New Roman" w:cs="Times New Roman"/>
          <w:b/>
        </w:rPr>
        <w:t>, A. Parich</w:t>
      </w:r>
      <w:r>
        <w:rPr>
          <w:rFonts w:ascii="Times New Roman" w:eastAsia="Times New Roman" w:hAnsi="Times New Roman" w:cs="Times New Roman"/>
          <w:b/>
          <w:vertAlign w:val="superscript"/>
        </w:rPr>
        <w:t>1</w:t>
      </w:r>
      <w:r>
        <w:rPr>
          <w:rFonts w:ascii="Times New Roman" w:eastAsia="Times New Roman" w:hAnsi="Times New Roman" w:cs="Times New Roman"/>
          <w:b/>
        </w:rPr>
        <w:t>, R. Schuhmacher</w:t>
      </w:r>
      <w:r>
        <w:rPr>
          <w:rFonts w:ascii="Times New Roman" w:eastAsia="Times New Roman" w:hAnsi="Times New Roman" w:cs="Times New Roman"/>
          <w:b/>
          <w:vertAlign w:val="superscript"/>
        </w:rPr>
        <w:t>1</w:t>
      </w:r>
      <w:r>
        <w:rPr>
          <w:rFonts w:ascii="Times New Roman" w:eastAsia="Times New Roman" w:hAnsi="Times New Roman" w:cs="Times New Roman"/>
          <w:b/>
        </w:rPr>
        <w:t>, G. Puopolo</w:t>
      </w:r>
      <w:r>
        <w:rPr>
          <w:rFonts w:ascii="Times New Roman" w:eastAsia="Times New Roman" w:hAnsi="Times New Roman" w:cs="Times New Roman"/>
          <w:b/>
          <w:vertAlign w:val="superscript"/>
        </w:rPr>
        <w:t>3,4</w:t>
      </w:r>
    </w:p>
    <w:p w14:paraId="00000004" w14:textId="77777777" w:rsidR="00142F66" w:rsidRDefault="00142F66">
      <w:pPr>
        <w:widowControl w:val="0"/>
        <w:spacing w:after="0" w:line="240" w:lineRule="auto"/>
        <w:ind w:left="1418" w:right="1452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</w:pPr>
      <w:bookmarkStart w:id="1" w:name="_heading=h.9e7hgpf541cf" w:colFirst="0" w:colLast="0"/>
      <w:bookmarkEnd w:id="1"/>
    </w:p>
    <w:p w14:paraId="00000005" w14:textId="77777777" w:rsidR="00142F66" w:rsidRDefault="0045235B">
      <w:pPr>
        <w:widowControl w:val="0"/>
        <w:spacing w:after="0" w:line="240" w:lineRule="auto"/>
        <w:ind w:left="1418" w:right="1452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Department of Agrobiotechnology (IFA-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Tulln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), Institute of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Bioanalytics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Agro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-Metabolomics, University of Natural Resources and Life Sciences Vienna (BOKU),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Tulln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, Austria;</w:t>
      </w: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Bi-PA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nv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(Biological Products for Agriculture),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Londerzeel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, Belgium;</w:t>
      </w: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Center of Ag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riculture, Food, Environment, University of Trento, San Michele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all’Adige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Italy; </w:t>
      </w: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4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Research and Innovation Centre, Department of Sustainable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Agro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-Ecosystems and Bioresources, Fondazione Edmund Mach, San Michele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all’Adige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, Italy.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E-mail: gerardo.puopolo@uni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tn.it</w:t>
      </w:r>
    </w:p>
    <w:p w14:paraId="00000006" w14:textId="77777777" w:rsidR="00142F66" w:rsidRDefault="00142F66">
      <w:pPr>
        <w:widowControl w:val="0"/>
        <w:spacing w:after="0" w:line="240" w:lineRule="auto"/>
        <w:ind w:left="1418" w:right="1452"/>
        <w:jc w:val="both"/>
        <w:rPr>
          <w:rFonts w:ascii="Times New Roman" w:eastAsia="Times New Roman" w:hAnsi="Times New Roman" w:cs="Times New Roman"/>
        </w:rPr>
      </w:pPr>
    </w:p>
    <w:p w14:paraId="00000007" w14:textId="77777777" w:rsidR="00142F66" w:rsidRDefault="0045235B">
      <w:pPr>
        <w:widowControl w:val="0"/>
        <w:spacing w:after="0" w:line="240" w:lineRule="auto"/>
        <w:ind w:left="1418" w:right="145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Plant beneficial rhizobacteria are able to inhibit the growth of soilborne phytopathogenic fungi and oomycetes through the release of a relevant number of volatile compounds. Based on this, we investigated the ability of the biocontrol agent </w:t>
      </w:r>
      <w:proofErr w:type="spellStart"/>
      <w:r>
        <w:rPr>
          <w:rFonts w:ascii="Times New Roman" w:eastAsia="Times New Roman" w:hAnsi="Times New Roman" w:cs="Times New Roman"/>
          <w:i/>
        </w:rPr>
        <w:t>Lysobacter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capsici</w:t>
      </w:r>
      <w:proofErr w:type="spellEnd"/>
      <w:r>
        <w:rPr>
          <w:rFonts w:ascii="Times New Roman" w:eastAsia="Times New Roman" w:hAnsi="Times New Roman" w:cs="Times New Roman"/>
        </w:rPr>
        <w:t xml:space="preserve"> AZ78 (AZ78) to produce volatile organic compounds (VOCs) that may contribute to its efficacy in controlling soilborne phytopathogenic fungi and oomycetes. AZ78 significantly reduced the growth of </w:t>
      </w:r>
      <w:r>
        <w:rPr>
          <w:rFonts w:ascii="Times New Roman" w:eastAsia="Times New Roman" w:hAnsi="Times New Roman" w:cs="Times New Roman"/>
          <w:i/>
        </w:rPr>
        <w:t xml:space="preserve">Pythium </w:t>
      </w:r>
      <w:proofErr w:type="spellStart"/>
      <w:r>
        <w:rPr>
          <w:rFonts w:ascii="Times New Roman" w:eastAsia="Times New Roman" w:hAnsi="Times New Roman" w:cs="Times New Roman"/>
          <w:i/>
        </w:rPr>
        <w:t>ultimum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Rhizoctonia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solani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</w:rPr>
        <w:t>clerotinia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minor</w:t>
      </w:r>
      <w:r>
        <w:rPr>
          <w:rFonts w:ascii="Times New Roman" w:eastAsia="Times New Roman" w:hAnsi="Times New Roman" w:cs="Times New Roman"/>
        </w:rPr>
        <w:t xml:space="preserve"> through the release of VOCs in split Petri dish assays. The GC-MS analysis revealed that AZ78 produced 22 VOCs and most of them were putatively identified as mono- and dialkylated methoxypyrazines. Exposure to 2,5-dimethylpyrazine, 2-ethyl</w:t>
      </w:r>
      <w:r>
        <w:rPr>
          <w:rFonts w:ascii="Times New Roman" w:eastAsia="Times New Roman" w:hAnsi="Times New Roman" w:cs="Times New Roman"/>
        </w:rPr>
        <w:t xml:space="preserve">-3-methoxypyrazine and 2-isopropyl-3-methoxypyrazine determined a drastic reduction of </w:t>
      </w:r>
      <w:r>
        <w:rPr>
          <w:rFonts w:ascii="Times New Roman" w:eastAsia="Times New Roman" w:hAnsi="Times New Roman" w:cs="Times New Roman"/>
          <w:i/>
        </w:rPr>
        <w:t xml:space="preserve">P. </w:t>
      </w:r>
      <w:proofErr w:type="spellStart"/>
      <w:r>
        <w:rPr>
          <w:rFonts w:ascii="Times New Roman" w:eastAsia="Times New Roman" w:hAnsi="Times New Roman" w:cs="Times New Roman"/>
          <w:i/>
        </w:rPr>
        <w:t>ultimum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 xml:space="preserve">R. </w:t>
      </w:r>
      <w:proofErr w:type="spellStart"/>
      <w:r>
        <w:rPr>
          <w:rFonts w:ascii="Times New Roman" w:eastAsia="Times New Roman" w:hAnsi="Times New Roman" w:cs="Times New Roman"/>
          <w:i/>
        </w:rPr>
        <w:t>solani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r>
        <w:rPr>
          <w:rFonts w:ascii="Times New Roman" w:eastAsia="Times New Roman" w:hAnsi="Times New Roman" w:cs="Times New Roman"/>
          <w:i/>
        </w:rPr>
        <w:t>S. minor</w:t>
      </w:r>
      <w:r>
        <w:rPr>
          <w:rFonts w:ascii="Times New Roman" w:eastAsia="Times New Roman" w:hAnsi="Times New Roman" w:cs="Times New Roman"/>
        </w:rPr>
        <w:t xml:space="preserve"> mycelium growth in split Petri dish assays. However, a remarkable difference between the toxicity of the pyrazines and the AZ78 total </w:t>
      </w:r>
      <w:r>
        <w:rPr>
          <w:rFonts w:ascii="Times New Roman" w:eastAsia="Times New Roman" w:hAnsi="Times New Roman" w:cs="Times New Roman"/>
        </w:rPr>
        <w:t xml:space="preserve">volatile blend was observed. This difference led us to further investigate the volatile-mediated inhibitory activity of the biocontrol bacterium. Further experiments revealed the ability of AZ78 cells to produce ammonia that caused the </w:t>
      </w:r>
      <w:proofErr w:type="spellStart"/>
      <w:r>
        <w:rPr>
          <w:rFonts w:ascii="Times New Roman" w:eastAsia="Times New Roman" w:hAnsi="Times New Roman" w:cs="Times New Roman"/>
        </w:rPr>
        <w:t>alkalinization</w:t>
      </w:r>
      <w:proofErr w:type="spellEnd"/>
      <w:r>
        <w:rPr>
          <w:rFonts w:ascii="Times New Roman" w:eastAsia="Times New Roman" w:hAnsi="Times New Roman" w:cs="Times New Roman"/>
        </w:rPr>
        <w:t xml:space="preserve"> of th</w:t>
      </w:r>
      <w:r>
        <w:rPr>
          <w:rFonts w:ascii="Times New Roman" w:eastAsia="Times New Roman" w:hAnsi="Times New Roman" w:cs="Times New Roman"/>
        </w:rPr>
        <w:t>e physically separated growth medium in split Petri dishes assays. As a consequence, the mycelium growth of the tested phytopathogenic fungi and oomycetes was negatively affected on the alkalinized growth medium. Results achieved in this work clearly showe</w:t>
      </w:r>
      <w:r>
        <w:rPr>
          <w:rFonts w:ascii="Times New Roman" w:eastAsia="Times New Roman" w:hAnsi="Times New Roman" w:cs="Times New Roman"/>
        </w:rPr>
        <w:t xml:space="preserve">d that volatile-mediated inhibitory activity of AZ78 mainly relies on the interaction between the toxicity of VOCs, ammonia and the </w:t>
      </w:r>
      <w:proofErr w:type="spellStart"/>
      <w:r>
        <w:rPr>
          <w:rFonts w:ascii="Times New Roman" w:eastAsia="Times New Roman" w:hAnsi="Times New Roman" w:cs="Times New Roman"/>
        </w:rPr>
        <w:t>alkalinization</w:t>
      </w:r>
      <w:proofErr w:type="spellEnd"/>
      <w:r>
        <w:rPr>
          <w:rFonts w:ascii="Times New Roman" w:eastAsia="Times New Roman" w:hAnsi="Times New Roman" w:cs="Times New Roman"/>
        </w:rPr>
        <w:t xml:space="preserve"> of growth medium.</w:t>
      </w:r>
    </w:p>
    <w:p w14:paraId="00000008" w14:textId="77777777" w:rsidR="00142F66" w:rsidRDefault="00142F66">
      <w:pPr>
        <w:widowControl w:val="0"/>
        <w:spacing w:after="0" w:line="240" w:lineRule="auto"/>
        <w:ind w:left="1418" w:right="1452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0000009" w14:textId="77777777" w:rsidR="00142F66" w:rsidRDefault="0045235B">
      <w:pPr>
        <w:widowControl w:val="0"/>
        <w:spacing w:after="0" w:line="240" w:lineRule="auto"/>
        <w:ind w:left="1418" w:right="1452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This work was supported by European Union’s Horizon 2020 Research and Innovation Program 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nder the Marie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Skłodowska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-Curie grant agreement no. 722642 (project INTERFUTURE).</w:t>
      </w:r>
    </w:p>
    <w:p w14:paraId="0000000A" w14:textId="77777777" w:rsidR="00142F66" w:rsidRDefault="00142F66">
      <w:pPr>
        <w:widowControl w:val="0"/>
        <w:spacing w:before="7" w:after="0" w:line="240" w:lineRule="auto"/>
      </w:pPr>
    </w:p>
    <w:sectPr w:rsidR="00142F66">
      <w:pgSz w:w="12240" w:h="15840"/>
      <w:pgMar w:top="1418" w:right="1418" w:bottom="1418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F66"/>
    <w:rsid w:val="00142F66"/>
    <w:rsid w:val="0045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5EDDE-AC86-4386-B289-6EE97F54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en-GB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ksIcRaxHRBRLJ1UUKe0S+OQ/2g==">CgMxLjAyDmguOWU3aGdwZjU0MWNmMghoLmdqZGd4czgAciExUE1majNDM3JhdkdySmdPSWlrM2lrTmVaOEdmMWpNakU=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Revision</dc:creator>
  <cp:lastModifiedBy>Utente</cp:lastModifiedBy>
  <cp:revision>2</cp:revision>
  <dcterms:created xsi:type="dcterms:W3CDTF">2025-04-15T11:30:00Z</dcterms:created>
  <dcterms:modified xsi:type="dcterms:W3CDTF">2025-04-15T11:30:00Z</dcterms:modified>
</cp:coreProperties>
</file>